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do praktyk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877"/>
        <w:gridCol w:w="515"/>
        <w:gridCol w:w="1359"/>
        <w:gridCol w:w="1873"/>
        <w:gridCol w:w="1875"/>
        <w:gridCol w:w="1413"/>
        <w:gridCol w:w="3"/>
        <w:gridCol w:w="462"/>
        <w:gridCol w:w="1891"/>
      </w:tblGrid>
      <w:tr>
        <w:trPr>
          <w:trHeight w:val="165" w:hRule="atLeast"/>
        </w:trPr>
        <w:tc>
          <w:tcPr>
            <w:tcW w:w="2392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6" w:type="dxa"/>
            <w:gridSpan w:val="7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Praktyka zawodowa. Dyspozytornia medyczna</w:t>
            </w:r>
          </w:p>
        </w:tc>
      </w:tr>
      <w:tr>
        <w:trPr>
          <w:trHeight w:val="165" w:hRule="atLeast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>
        <w:trPr>
          <w:trHeight w:val="165" w:hRule="atLeast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pierwszego stopnia, semestr II</w:t>
            </w: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I</w:t>
            </w:r>
          </w:p>
        </w:tc>
      </w:tr>
      <w:tr>
        <w:trPr>
          <w:trHeight w:val="165" w:hRule="atLeast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C, nauki kliniczne</w:t>
            </w:r>
          </w:p>
        </w:tc>
      </w:tr>
      <w:tr>
        <w:trPr>
          <w:trHeight w:val="165" w:hRule="atLeast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</w:rPr>
              <w:t>w zakładzie opieki zdrowotnej</w:t>
            </w:r>
          </w:p>
        </w:tc>
      </w:tr>
      <w:tr>
        <w:trPr>
          <w:trHeight w:val="165" w:hRule="atLeast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1/30</w:t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Warunkiem koniecznym do realizacji przedmiotu jest zaliczenie przedmiotów kierunkowych z dotychczasowego przebiegu studiów: I rok: Procedury ratunkowe przedszpitalne; Praktyka zawodowa – SOR.</w:t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6" w:type="dxa"/>
            <w:gridSpan w:val="7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numPr>
                <w:ilvl w:val="0"/>
                <w:numId w:val="0"/>
              </w:numPr>
              <w:spacing w:beforeAutospacing="0" w:before="0" w:afterAutospacing="0" w:after="0"/>
              <w:ind w:hanging="0" w:left="0"/>
              <w:jc w:val="both"/>
              <w:rPr/>
            </w:pPr>
            <w:r>
              <w:rPr>
                <w:sz w:val="20"/>
                <w:szCs w:val="20"/>
              </w:rPr>
              <w:t>Celem przedmiotu jest zapoznanie studentów z charakterystyką pracy dyspozytora medycznego, jak również zasadami funkcjonowania dyspozytorni medycznych</w:t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6" w:type="dxa"/>
            <w:gridSpan w:val="7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6" w:type="dxa"/>
            <w:gridSpan w:val="7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eastAsia="SimSun" w:cs="Times New Roman" w:ascii="Times New Roman" w:hAnsi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0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C.W41 zasady łańcucha przeżycia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dokumentacja praktyki</w:t>
            </w:r>
          </w:p>
        </w:tc>
      </w:tr>
      <w:tr>
        <w:trPr>
          <w:trHeight w:val="399" w:hRule="atLeast"/>
        </w:trPr>
        <w:tc>
          <w:tcPr>
            <w:tcW w:w="2392" w:type="dxa"/>
            <w:gridSpan w:val="2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/>
              <w:t>C.W74 zasady podejmowania działań zabezpieczających w celu ograniczenia skutków zdrowotnych zdarzenia;</w:t>
            </w:r>
          </w:p>
        </w:tc>
        <w:tc>
          <w:tcPr>
            <w:tcW w:w="2356" w:type="dxa"/>
            <w:gridSpan w:val="3"/>
            <w:vMerge w:val="continue"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9" w:hRule="atLeast"/>
        </w:trPr>
        <w:tc>
          <w:tcPr>
            <w:tcW w:w="2392" w:type="dxa"/>
            <w:gridSpan w:val="2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/>
              <w:t>C.W84 wskazania do leczenia hiperbarycznego;</w:t>
            </w:r>
          </w:p>
        </w:tc>
        <w:tc>
          <w:tcPr>
            <w:tcW w:w="2356" w:type="dxa"/>
            <w:gridSpan w:val="3"/>
            <w:vMerge w:val="continue"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9" w:hRule="atLeast"/>
        </w:trPr>
        <w:tc>
          <w:tcPr>
            <w:tcW w:w="2392" w:type="dxa"/>
            <w:gridSpan w:val="2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/>
              <w:t>C.W85 zagrożenia środowiskowe;</w:t>
            </w:r>
          </w:p>
        </w:tc>
        <w:tc>
          <w:tcPr>
            <w:tcW w:w="2356" w:type="dxa"/>
            <w:gridSpan w:val="3"/>
            <w:vMerge w:val="continue"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9" w:hRule="atLeast"/>
        </w:trPr>
        <w:tc>
          <w:tcPr>
            <w:tcW w:w="2392" w:type="dxa"/>
            <w:gridSpan w:val="2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/>
              <w:t>C.W86 rodzaje katastrof, procedury medyczne i działania ratunkowe podejmowane w zdarzeniach mnogich i masowych oraz katastrofach, a także w zdarzeniach z wystąpieniem zagrożeń chemicznych, biologicznych, radiacyjnych lub nuklearnych;</w:t>
            </w:r>
          </w:p>
        </w:tc>
        <w:tc>
          <w:tcPr>
            <w:tcW w:w="2356" w:type="dxa"/>
            <w:gridSpan w:val="3"/>
            <w:vMerge w:val="continue"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C.W94 zasady funkcjonowania centrum urazowego i centrum urazowego dla dzieci;</w:t>
            </w:r>
          </w:p>
        </w:tc>
        <w:tc>
          <w:tcPr>
            <w:tcW w:w="2356" w:type="dxa"/>
            <w:gridSpan w:val="3"/>
            <w:vMerge w:val="continue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C.W102 zasady funkcjonowania systemu Państwowe Ratownictwo Medyczne.</w:t>
            </w:r>
          </w:p>
        </w:tc>
        <w:tc>
          <w:tcPr>
            <w:tcW w:w="2356" w:type="dxa"/>
            <w:gridSpan w:val="3"/>
            <w:vMerge w:val="continue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hanging="34" w:left="34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C.W103 rolę i znaczenie Lotniczego Pogotowia Ratunkowego w systemie Państwowe Ratownictwo Medyczne;</w:t>
            </w:r>
          </w:p>
        </w:tc>
        <w:tc>
          <w:tcPr>
            <w:tcW w:w="2356" w:type="dxa"/>
            <w:gridSpan w:val="3"/>
            <w:vMerge w:val="continue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SimSun" w:cs="Times New Roman" w:ascii="Times New Roman" w:hAnsi="Times New Roman"/>
                <w:color w:val="000000"/>
                <w:sz w:val="20"/>
                <w:szCs w:val="20"/>
                <w:lang w:eastAsia="zh-CN"/>
              </w:rPr>
              <w:t>C.U1 oceniać stan pacjenta w celu ustalenia sposobu postępowania ratunkowego;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dokumentacja praktyki</w:t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/>
            </w:pPr>
            <w:r>
              <w:rPr/>
              <w:t>C.U35 oceniać wskazania do transportu pacjenta do ośrodka toksykologicznego, hiperbarycznego, replantacyjnego i kardiologii inwazyjnej oraz centrum leczenia oparzeń, centrum urazowego lub centrum urazowego dla dzieci;</w:t>
            </w:r>
          </w:p>
        </w:tc>
        <w:tc>
          <w:tcPr>
            <w:tcW w:w="2356" w:type="dxa"/>
            <w:gridSpan w:val="3"/>
            <w:vMerge w:val="continue"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SimSun" w:cs="Times New Roman" w:ascii="Times New Roman" w:hAnsi="Times New Roman"/>
                <w:color w:val="000000"/>
                <w:sz w:val="20"/>
                <w:szCs w:val="20"/>
                <w:lang w:eastAsia="zh-CN"/>
              </w:rPr>
              <w:t>C.U64 identyfikować wskazania do transportu do centrum urazowego lub centrum urazowego dla dzieci i zgłaszać obecność kryteriów kwalifikacji kierownikowi zespołu urazowego lub kierownikowi zespołu urazowego dziecięcego;</w:t>
            </w:r>
          </w:p>
        </w:tc>
        <w:tc>
          <w:tcPr>
            <w:tcW w:w="2356" w:type="dxa"/>
            <w:gridSpan w:val="3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850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K.2. dostrzegania czynników wpływających na reakcje własne i pacjenta;</w:t>
            </w:r>
          </w:p>
        </w:tc>
        <w:tc>
          <w:tcPr>
            <w:tcW w:w="2356" w:type="dxa"/>
            <w:gridSpan w:val="3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K.6. kierowania się dobrem pacjenta</w:t>
            </w:r>
          </w:p>
        </w:tc>
        <w:tc>
          <w:tcPr>
            <w:tcW w:w="2356" w:type="dxa"/>
            <w:gridSpan w:val="3"/>
            <w:vMerge w:val="continue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392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spacing w:lineRule="auto" w:line="264" w:before="0" w:after="22"/>
              <w:ind w:firstLine="7"/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 zakresie wiedzy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: Egzamin ustny (niestandaryzowany, standaryzowany, tradycyjny, problemowy);</w:t>
            </w:r>
          </w:p>
          <w:p>
            <w:pPr>
              <w:pStyle w:val="Normal"/>
              <w:spacing w:lineRule="auto" w:line="290" w:before="0" w:after="0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test dopasowania;</w:t>
            </w:r>
          </w:p>
          <w:p>
            <w:pPr>
              <w:pStyle w:val="Normal"/>
              <w:spacing w:lineRule="auto" w:line="290" w:before="0" w:after="0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w zakresie umi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ejętności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y,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 obserwacja przez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prowadzącego, s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amoocena.</w:t>
            </w:r>
          </w:p>
        </w:tc>
        <w:tc>
          <w:tcPr>
            <w:tcW w:w="2356" w:type="dxa"/>
            <w:gridSpan w:val="3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jest gotów do aktywnego słuchania, nawiązywania kontaktów interpersonalnych, skutecznego i empatycznego porozumiewania się z pacjentem.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jest gotów do przewidywania i uwzględniania czynników wpływających na reakcje własne i pacjenta.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potrafi rozpoznawać stany nagłego zagrożenia zdrowotnego.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zna i rozumie medyczne czynności ratunkowe i świadczenia zdrowotne inne niż medyczne czynności ratunkowe, które mogą być udzielane przez ratownika medycznego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potrafi ocenić stan pacjenta w celu ustalenia sposobu postępowania ratunkowego.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potrafi przeprowadzić wywiad medyczny z pacjentem dorosłym w zakresie niezbędnym do podjęcia medycznych czynności ratunkowych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potrafi wdrażać procedury medyczne i działania ratunkowe w przypadku zdarzenia z dużą liczbą poszkodowanych.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zna i rozumie zasady badania podmiotowego w zakresie niezbędnym do prowadzenia medycznych czynności ratunkowych i świadczeń medycznych innych niż medyczne czynności ratunkowe.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zna i rozumie zasady podejmowania działań zabezpieczających w celu ograniczenia skutków zdrowotnych zdarzenia.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>
        <w:trPr>
          <w:trHeight w:val="316" w:hRule="atLeast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zna i rozumie zasady funkcjonowania systemu Państwowe Ratownictwo Medyczne</w:t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85"/>
              <w:jc w:val="both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/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7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Absolwent zna i rozumie podstawy dysponowania zespołami ratownictwa medycznego i koordynacji działań w systemie Państwowe Ratownictwo Medyczne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hanging="0"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  <w:szCs w:val="20"/>
              </w:rPr>
              <w:t>Praktyki zawodowe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a) zaliczenie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b) rozwiązanie zadania problemowego, realizacja procedury medycznej wg kryteriów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9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9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 nie zostały osiągnięte,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dostatecznym,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wykazuje pełne poczucie odpowiedzialności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9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samodzielnie rozwiązuje problemy  i formułuje wnioski, potrafi prawidłowo argumentować                   i dowodzić swoich racji;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8"/>
              </w:numPr>
              <w:spacing w:lineRule="auto" w:line="240" w:before="0" w:after="0"/>
              <w:ind w:hanging="360" w:left="373"/>
              <w:jc w:val="both"/>
              <w:rPr/>
            </w:pPr>
            <w:r>
              <w:rPr>
                <w:rStyle w:val="Wyrnienieuser"/>
                <w:rFonts w:eastAsia="Times New Roman" w:cs="Times New Roman" w:ascii="Times New Roman" w:hAnsi="Times New Roman"/>
                <w:i w:val="false"/>
                <w:iCs/>
                <w:kern w:val="2"/>
                <w:sz w:val="20"/>
                <w:szCs w:val="20"/>
                <w:lang w:eastAsia="pl-PL"/>
              </w:rPr>
              <w:t>1. Literatura Obwieszczenie Ministra Zdrowia w sprawie algorytmu zbierania wywiadu medycznego przez dyspozytora medycznego wraz ze zmianami</w:t>
            </w:r>
          </w:p>
          <w:p>
            <w:pPr>
              <w:pStyle w:val="Normal"/>
              <w:numPr>
                <w:ilvl w:val="0"/>
                <w:numId w:val="8"/>
              </w:numPr>
              <w:spacing w:lineRule="auto" w:line="240" w:before="0" w:after="0"/>
              <w:ind w:hanging="360" w:left="373"/>
              <w:jc w:val="both"/>
              <w:rPr/>
            </w:pPr>
            <w:r>
              <w:rPr>
                <w:rStyle w:val="Wyrnienieuser"/>
                <w:rFonts w:eastAsia="Times New Roman" w:cs="Times New Roman" w:ascii="Times New Roman" w:hAnsi="Times New Roman"/>
                <w:i w:val="false"/>
                <w:iCs/>
                <w:kern w:val="2"/>
                <w:sz w:val="20"/>
                <w:szCs w:val="20"/>
                <w:lang w:eastAsia="pl-PL"/>
              </w:rPr>
              <w:t>Rozporządzenie Ministra Zdrowia w sprawie ramowych procedur obsługi zgłoszeń alarmowych i powiadomień o zdarzeniach przez dyspozytora medycznego wraz z ze zmianami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sz w:val="20"/>
                <w:szCs w:val="24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4"/>
                <w:lang w:eastAsia="zh-CN"/>
              </w:rPr>
              <w:t>1. Andres J. Wytyczne resuscytacji (rozdział 3: Systemy ratują życie), Europejska Rada Resuscytacji, Kraków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44460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 w:customStyle="1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Wyrnienieuser">
    <w:name w:val="Wyróżnienie (user)"/>
    <w:basedOn w:val="DefaultParagraphFont"/>
    <w:uiPriority w:val="20"/>
    <w:qFormat/>
    <w:rsid w:val="00aa6773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LibreOffice/25.8.5.2$Windows_X86_64 LibreOffice_project/9c8b85f387cc00a89945a79c9e6239f32e450ac2</Application>
  <AppVersion>15.0000</AppVersion>
  <DocSecurity>0</DocSecurity>
  <Pages>3</Pages>
  <Words>1071</Words>
  <Characters>7685</Characters>
  <CharactersWithSpaces>8633</CharactersWithSpaces>
  <Paragraphs>148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2021-10-20T12:26:00Z</dcterms:created>
  <dc:creator>Ela</dc:creator>
  <dc:description/>
  <dc:language>pl-PL</dc:language>
  <cp:lastModifiedBy/>
  <cp:lastPrinted>2022-12-14T08:33:00Z</cp:lastPrinted>
  <dcterms:modified xsi:type="dcterms:W3CDTF">2026-04-27T14:14:05Z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